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1B2D55" w:rsidRDefault="009C17FA" w:rsidP="001B2D55">
      <w:pPr>
        <w:ind w:right="-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OPUS 27</w:t>
      </w:r>
    </w:p>
    <w:p w:rsidR="00010CC2" w:rsidRPr="00581E23" w:rsidRDefault="00581E23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P</w:t>
      </w:r>
      <w:r w:rsidR="009C17FA" w:rsidRPr="00581E23">
        <w:rPr>
          <w:rFonts w:asciiTheme="majorHAnsi" w:hAnsiTheme="majorHAnsi" w:cstheme="majorHAnsi"/>
          <w:b/>
          <w:sz w:val="26"/>
          <w:szCs w:val="26"/>
          <w:lang w:val="en-US"/>
        </w:rPr>
        <w:t xml:space="preserve">rof. Agnieszka </w:t>
      </w:r>
      <w:proofErr w:type="spellStart"/>
      <w:r w:rsidR="009C17FA" w:rsidRPr="00581E23">
        <w:rPr>
          <w:rFonts w:asciiTheme="majorHAnsi" w:hAnsiTheme="majorHAnsi" w:cstheme="majorHAnsi"/>
          <w:b/>
          <w:sz w:val="26"/>
          <w:szCs w:val="26"/>
          <w:lang w:val="en-US"/>
        </w:rPr>
        <w:t>Piwkowska</w:t>
      </w:r>
      <w:proofErr w:type="spellEnd"/>
    </w:p>
    <w:p w:rsidR="00010CC2" w:rsidRPr="00581E23" w:rsidRDefault="00581E23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81E23">
        <w:rPr>
          <w:rFonts w:asciiTheme="majorHAnsi" w:hAnsiTheme="majorHAnsi" w:cstheme="majorHAnsi"/>
          <w:b/>
          <w:sz w:val="26"/>
          <w:szCs w:val="26"/>
          <w:lang w:val="en-US"/>
        </w:rPr>
        <w:t>Laboratory of Molecular and Cellular Nephrology</w:t>
      </w:r>
      <w:r w:rsidR="00010CC2" w:rsidRPr="00581E23">
        <w:rPr>
          <w:rFonts w:asciiTheme="majorHAnsi" w:hAnsiTheme="majorHAnsi" w:cstheme="majorHAnsi"/>
          <w:b/>
          <w:sz w:val="26"/>
          <w:szCs w:val="26"/>
          <w:lang w:val="en-US"/>
        </w:rPr>
        <w:br/>
        <w:t xml:space="preserve"> </w:t>
      </w:r>
    </w:p>
    <w:p w:rsidR="002E2304" w:rsidRPr="002E2304" w:rsidRDefault="002E2304" w:rsidP="002E230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E2304">
        <w:rPr>
          <w:rFonts w:asciiTheme="majorHAnsi" w:hAnsiTheme="majorHAnsi" w:cstheme="majorHAnsi"/>
          <w:b/>
          <w:sz w:val="26"/>
          <w:szCs w:val="26"/>
          <w:lang w:val="en-US"/>
        </w:rPr>
        <w:t>CD147 as a novel multifunctional modulator of podocyte metabolism and exosome</w:t>
      </w:r>
    </w:p>
    <w:p w:rsidR="002E2304" w:rsidRPr="002E2304" w:rsidRDefault="002E2304" w:rsidP="002E230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E2304">
        <w:rPr>
          <w:rFonts w:asciiTheme="majorHAnsi" w:hAnsiTheme="majorHAnsi" w:cstheme="majorHAnsi"/>
          <w:b/>
          <w:sz w:val="26"/>
          <w:szCs w:val="26"/>
          <w:lang w:val="en-US"/>
        </w:rPr>
        <w:t>biogenesis: Identification of new molecular pathways and therapeutic targets in diabetic</w:t>
      </w:r>
    </w:p>
    <w:p w:rsidR="003F56B9" w:rsidRPr="001B2D55" w:rsidRDefault="002E2304" w:rsidP="002E230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2E2304">
        <w:rPr>
          <w:rFonts w:asciiTheme="majorHAnsi" w:hAnsiTheme="majorHAnsi" w:cstheme="majorHAnsi"/>
          <w:b/>
          <w:sz w:val="26"/>
          <w:szCs w:val="26"/>
        </w:rPr>
        <w:t>kidney</w:t>
      </w:r>
      <w:proofErr w:type="spellEnd"/>
      <w:r w:rsidRPr="002E2304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2E2304">
        <w:rPr>
          <w:rFonts w:asciiTheme="majorHAnsi" w:hAnsiTheme="majorHAnsi" w:cstheme="majorHAnsi"/>
          <w:b/>
          <w:sz w:val="26"/>
          <w:szCs w:val="26"/>
        </w:rPr>
        <w:t>disease</w:t>
      </w:r>
      <w:proofErr w:type="spellEnd"/>
      <w:r w:rsidRPr="002E2304">
        <w:rPr>
          <w:rFonts w:asciiTheme="majorHAnsi" w:hAnsiTheme="majorHAnsi" w:cstheme="majorHAnsi"/>
          <w:b/>
          <w:sz w:val="26"/>
          <w:szCs w:val="26"/>
        </w:rPr>
        <w:t>.</w:t>
      </w:r>
    </w:p>
    <w:p w:rsidR="00010CC2" w:rsidRDefault="00010CC2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</w:rPr>
      </w:pPr>
    </w:p>
    <w:p w:rsidR="002E2304" w:rsidRPr="002E2304" w:rsidRDefault="002E2304" w:rsidP="002E23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2E2304">
        <w:rPr>
          <w:rFonts w:asciiTheme="majorHAnsi" w:hAnsiTheme="majorHAnsi" w:cstheme="majorHAnsi"/>
          <w:sz w:val="24"/>
          <w:szCs w:val="24"/>
          <w:lang w:val="en-US"/>
        </w:rPr>
        <w:t>Hyperglycemia is a primary factor that disturbs podocyte function in the glomerular filtration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process. This disturbance leads to the development of diabetic nephropathy and, ultimately,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renal failure. Podocytes, with their foot processes, form an important cellular layer of the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glomerular barrier involved in the regulation of glomerular permeability. The retraction of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podocyte foot processes forming the slit diaphragm is a common feature of proteinuria.</w:t>
      </w:r>
    </w:p>
    <w:p w:rsidR="002E2304" w:rsidRPr="002E2304" w:rsidRDefault="002E2304" w:rsidP="002E23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2E2304">
        <w:rPr>
          <w:rFonts w:asciiTheme="majorHAnsi" w:hAnsiTheme="majorHAnsi" w:cstheme="majorHAnsi"/>
          <w:sz w:val="24"/>
          <w:szCs w:val="24"/>
          <w:lang w:val="en-US"/>
        </w:rPr>
        <w:t>Currently, the correlation of retraction with the development of proteinuria is not well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understood. A key question is whether podocyte foot processes are able to regulate slit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diaphragm permeability and glomerular ultrafiltration. It is now known that the slit diaphragm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protein complex does not only serve as a static molecular sieve but is rather a highly dynamic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functional protein complex. Although the critical role of signaling at the slit diaphragm for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active actin remodeling is highly conceivable, little is known about the effectors of slit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diaphragm proteins involved in transmitting these signals to the actin cytoskeleton.</w:t>
      </w:r>
    </w:p>
    <w:p w:rsidR="002E2304" w:rsidRPr="002E2304" w:rsidRDefault="002E2304" w:rsidP="002E23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2E2304">
        <w:rPr>
          <w:rFonts w:asciiTheme="majorHAnsi" w:hAnsiTheme="majorHAnsi" w:cstheme="majorHAnsi"/>
          <w:sz w:val="24"/>
          <w:szCs w:val="24"/>
          <w:lang w:val="en-US"/>
        </w:rPr>
        <w:t>CD147 is a transmembrane glycoprotein involved in various physiological and pathological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processes by interacting with several partners such as monocarboxylate transporters, Caveolin-1, and integrins. It is widely recognized as a strong activator of extracellular matrix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metalloproteinases and also plays a significant role in mediating inflammatory and immune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 xml:space="preserve">responses. </w:t>
      </w:r>
      <w:bookmarkStart w:id="0" w:name="_GoBack"/>
      <w:bookmarkEnd w:id="0"/>
      <w:r w:rsidRPr="002E2304">
        <w:rPr>
          <w:rFonts w:asciiTheme="majorHAnsi" w:hAnsiTheme="majorHAnsi" w:cstheme="majorHAnsi"/>
          <w:sz w:val="24"/>
          <w:szCs w:val="24"/>
          <w:lang w:val="en-US"/>
        </w:rPr>
        <w:t>Moreover, elevated levels of CD147 have been associated with the development of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several diseases, including diabetes. However, its mechanism of action in podocytes has not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been explored. Therefore, the primary aim of this project is to investigate the role of CD147 in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the pathological changes in the glomerular filtration barrier formed by podocytes in diabetes,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which ultimately leads to diabetic nephropathy and kidney failure.</w:t>
      </w:r>
    </w:p>
    <w:p w:rsidR="002E2304" w:rsidRPr="00581E23" w:rsidRDefault="002E2304" w:rsidP="002E23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2E2304">
        <w:rPr>
          <w:rFonts w:asciiTheme="majorHAnsi" w:hAnsiTheme="majorHAnsi" w:cstheme="majorHAnsi"/>
          <w:sz w:val="24"/>
          <w:szCs w:val="24"/>
          <w:lang w:val="en-US"/>
        </w:rPr>
        <w:t>The experiments will be focused on investigating the cellular and molecular mechanisms of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CD147 interaction with multiple partners in podocytes, exosome biogenesis and release,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podocyte migration, permeability to albumin across the podocyte monolayer, and glomerular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permeability to albumin. The major part of this project will involve searching for new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biomarkers of early diabetic nephropathy and podocyte damage in urine samples from the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Zucker diabetic fatty (ZDF) rat model, which displays type 2 diabetes progression. An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important part of this project will investigate the role of CD147 in the biogenesis and urinary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secretion of exosomes, which may also be a potential marker of kidney damage. The realization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of this project might help to understand the molecular mechanism of proteinuria and further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2E2304">
        <w:rPr>
          <w:rFonts w:asciiTheme="majorHAnsi" w:hAnsiTheme="majorHAnsi" w:cstheme="majorHAnsi"/>
          <w:sz w:val="24"/>
          <w:szCs w:val="24"/>
          <w:lang w:val="en-US"/>
        </w:rPr>
        <w:t>develop novel diagnostic markers to test early diabetic nephropathy and podocyte damage in</w:t>
      </w:r>
      <w:r w:rsidR="00581E2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581E23">
        <w:rPr>
          <w:rFonts w:asciiTheme="majorHAnsi" w:hAnsiTheme="majorHAnsi" w:cstheme="majorHAnsi"/>
          <w:sz w:val="24"/>
          <w:szCs w:val="24"/>
          <w:lang w:val="en-US"/>
        </w:rPr>
        <w:t>diabetes.</w:t>
      </w:r>
    </w:p>
    <w:sectPr w:rsidR="002E2304" w:rsidRPr="00581E23" w:rsidSect="002E230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5"/>
    <w:rsid w:val="00010CC2"/>
    <w:rsid w:val="001B2D55"/>
    <w:rsid w:val="00202645"/>
    <w:rsid w:val="002E2304"/>
    <w:rsid w:val="003F56B9"/>
    <w:rsid w:val="00581E23"/>
    <w:rsid w:val="007526CE"/>
    <w:rsid w:val="009C17FA"/>
    <w:rsid w:val="00BD1CE2"/>
    <w:rsid w:val="00F338EB"/>
    <w:rsid w:val="00F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A87F"/>
  <w15:chartTrackingRefBased/>
  <w15:docId w15:val="{13052E51-B557-4B12-B2F1-D89BCD0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Seidler</dc:creator>
  <cp:keywords/>
  <dc:description/>
  <cp:lastModifiedBy>Dorota Seidler</cp:lastModifiedBy>
  <cp:revision>3</cp:revision>
  <dcterms:created xsi:type="dcterms:W3CDTF">2024-12-09T11:07:00Z</dcterms:created>
  <dcterms:modified xsi:type="dcterms:W3CDTF">2024-12-09T11:16:00Z</dcterms:modified>
</cp:coreProperties>
</file>